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rPr>
      </w:pPr>
      <w:r>
        <w:rPr>
          <w:rFonts w:hint="eastAsia"/>
          <w:b/>
          <w:color w:val="auto"/>
          <w:sz w:val="32"/>
          <w:szCs w:val="32"/>
        </w:rPr>
        <w:t>招标工程量清单编制说明</w:t>
      </w:r>
    </w:p>
    <w:p>
      <w:pPr>
        <w:spacing w:line="360" w:lineRule="auto"/>
        <w:rPr>
          <w:color w:val="auto"/>
          <w:sz w:val="28"/>
          <w:szCs w:val="28"/>
        </w:rPr>
      </w:pPr>
      <w:r>
        <w:rPr>
          <w:rFonts w:hint="eastAsia"/>
          <w:color w:val="auto"/>
          <w:sz w:val="28"/>
          <w:szCs w:val="28"/>
        </w:rPr>
        <w:t>一、工程概况</w:t>
      </w:r>
    </w:p>
    <w:p>
      <w:pPr>
        <w:spacing w:line="360" w:lineRule="auto"/>
        <w:ind w:firstLine="440" w:firstLineChars="200"/>
        <w:rPr>
          <w:rFonts w:hint="eastAsia"/>
          <w:color w:val="auto"/>
          <w:sz w:val="22"/>
          <w:lang w:eastAsia="zh-CN"/>
        </w:rPr>
      </w:pPr>
      <w:r>
        <w:rPr>
          <w:rFonts w:hint="eastAsia"/>
          <w:color w:val="auto"/>
          <w:sz w:val="22"/>
        </w:rPr>
        <w:t>本工程为南京信息工程大学中区新食堂南侧环境改造工程</w:t>
      </w:r>
      <w:r>
        <w:rPr>
          <w:rFonts w:hint="eastAsia"/>
          <w:color w:val="auto"/>
          <w:sz w:val="22"/>
          <w:lang w:eastAsia="zh-CN"/>
        </w:rPr>
        <w:t>，</w:t>
      </w:r>
      <w:r>
        <w:rPr>
          <w:rFonts w:hint="eastAsia"/>
          <w:color w:val="auto"/>
          <w:sz w:val="22"/>
        </w:rPr>
        <w:t>该项目位于</w:t>
      </w:r>
      <w:r>
        <w:rPr>
          <w:rFonts w:hint="eastAsia"/>
          <w:color w:val="auto"/>
          <w:sz w:val="22"/>
          <w:lang w:val="en-US" w:eastAsia="zh-CN"/>
        </w:rPr>
        <w:t>江苏省南京信息工程大学</w:t>
      </w:r>
      <w:r>
        <w:rPr>
          <w:rFonts w:hint="eastAsia"/>
          <w:color w:val="auto"/>
          <w:sz w:val="22"/>
        </w:rPr>
        <w:t>，建设单位为</w:t>
      </w:r>
      <w:r>
        <w:rPr>
          <w:rFonts w:hint="eastAsia"/>
          <w:color w:val="auto"/>
          <w:sz w:val="22"/>
          <w:lang w:val="en-US" w:eastAsia="zh-CN"/>
        </w:rPr>
        <w:t>南京信息工程大学</w:t>
      </w:r>
      <w:r>
        <w:rPr>
          <w:rFonts w:hint="eastAsia"/>
          <w:color w:val="auto"/>
          <w:sz w:val="22"/>
        </w:rPr>
        <w:t>，设计单位为</w:t>
      </w:r>
      <w:r>
        <w:rPr>
          <w:rFonts w:hint="eastAsia"/>
          <w:color w:val="auto"/>
          <w:sz w:val="22"/>
          <w:lang w:val="en-US" w:eastAsia="zh-CN"/>
        </w:rPr>
        <w:t>江苏绿色都建建筑设计研究院有限公司</w:t>
      </w:r>
      <w:r>
        <w:rPr>
          <w:rFonts w:hint="eastAsia"/>
          <w:color w:val="auto"/>
          <w:sz w:val="22"/>
        </w:rPr>
        <w:t>。</w:t>
      </w:r>
    </w:p>
    <w:p>
      <w:pPr>
        <w:spacing w:line="360" w:lineRule="auto"/>
        <w:rPr>
          <w:color w:val="auto"/>
          <w:sz w:val="28"/>
          <w:szCs w:val="28"/>
        </w:rPr>
      </w:pPr>
      <w:r>
        <w:rPr>
          <w:rFonts w:hint="eastAsia"/>
          <w:color w:val="auto"/>
          <w:sz w:val="28"/>
          <w:szCs w:val="28"/>
        </w:rPr>
        <w:t>二、工程招标和分包范围</w:t>
      </w:r>
    </w:p>
    <w:p>
      <w:pPr>
        <w:spacing w:line="360" w:lineRule="auto"/>
        <w:ind w:firstLine="440" w:firstLineChars="200"/>
        <w:rPr>
          <w:rFonts w:hint="eastAsia"/>
          <w:color w:val="auto"/>
          <w:sz w:val="22"/>
          <w:lang w:val="en-US" w:eastAsia="zh-CN"/>
        </w:rPr>
      </w:pPr>
      <w:r>
        <w:rPr>
          <w:rFonts w:hint="eastAsia"/>
          <w:color w:val="auto"/>
          <w:sz w:val="22"/>
          <w:lang w:val="en-US" w:eastAsia="zh-CN"/>
        </w:rPr>
        <w:t>本次招标主要为道路工程、绿化工程、排水工程、电气工程等，具体详见招标文件及工程量清单。</w:t>
      </w:r>
    </w:p>
    <w:p>
      <w:pPr>
        <w:spacing w:line="360" w:lineRule="auto"/>
        <w:rPr>
          <w:color w:val="auto"/>
          <w:sz w:val="28"/>
          <w:szCs w:val="28"/>
        </w:rPr>
      </w:pPr>
      <w:r>
        <w:rPr>
          <w:rFonts w:hint="eastAsia"/>
          <w:color w:val="auto"/>
          <w:sz w:val="28"/>
          <w:szCs w:val="28"/>
        </w:rPr>
        <w:t>三、编制依据</w:t>
      </w:r>
    </w:p>
    <w:p>
      <w:pPr>
        <w:spacing w:line="360" w:lineRule="auto"/>
        <w:ind w:firstLine="440" w:firstLineChars="200"/>
        <w:rPr>
          <w:color w:val="auto"/>
          <w:sz w:val="22"/>
        </w:rPr>
      </w:pPr>
      <w:r>
        <w:rPr>
          <w:rFonts w:hint="eastAsia"/>
          <w:color w:val="auto"/>
          <w:sz w:val="22"/>
        </w:rPr>
        <w:t>1、</w:t>
      </w:r>
      <w:r>
        <w:rPr>
          <w:rFonts w:hint="eastAsia" w:ascii="宋体" w:hAnsi="宋体"/>
          <w:bCs/>
          <w:color w:val="auto"/>
          <w:sz w:val="22"/>
          <w:szCs w:val="22"/>
          <w:lang w:val="en-US" w:eastAsia="zh-CN"/>
        </w:rPr>
        <w:t>江苏绿色都建建筑设计研究院有限公司</w:t>
      </w:r>
      <w:r>
        <w:rPr>
          <w:rFonts w:hint="eastAsia"/>
          <w:color w:val="auto"/>
          <w:sz w:val="22"/>
          <w:szCs w:val="22"/>
        </w:rPr>
        <w:t>设计的202</w:t>
      </w:r>
      <w:r>
        <w:rPr>
          <w:rFonts w:hint="eastAsia"/>
          <w:color w:val="auto"/>
          <w:sz w:val="22"/>
          <w:szCs w:val="22"/>
          <w:lang w:val="en-US" w:eastAsia="zh-CN"/>
        </w:rPr>
        <w:t>3</w:t>
      </w:r>
      <w:r>
        <w:rPr>
          <w:rFonts w:hint="eastAsia"/>
          <w:color w:val="auto"/>
          <w:sz w:val="22"/>
          <w:szCs w:val="22"/>
        </w:rPr>
        <w:t>年0</w:t>
      </w:r>
      <w:r>
        <w:rPr>
          <w:rFonts w:hint="eastAsia"/>
          <w:color w:val="auto"/>
          <w:sz w:val="22"/>
          <w:szCs w:val="22"/>
          <w:lang w:val="en-US" w:eastAsia="zh-CN"/>
        </w:rPr>
        <w:t>2</w:t>
      </w:r>
      <w:r>
        <w:rPr>
          <w:rFonts w:hint="eastAsia"/>
          <w:color w:val="auto"/>
          <w:sz w:val="22"/>
          <w:szCs w:val="22"/>
        </w:rPr>
        <w:t>月施工图及</w:t>
      </w:r>
      <w:r>
        <w:rPr>
          <w:rFonts w:hint="eastAsia"/>
          <w:color w:val="auto"/>
          <w:sz w:val="22"/>
          <w:szCs w:val="22"/>
          <w:lang w:val="en-US" w:eastAsia="zh-CN"/>
        </w:rPr>
        <w:t>相关疑问说明</w:t>
      </w:r>
      <w:r>
        <w:rPr>
          <w:rFonts w:hint="eastAsia"/>
          <w:color w:val="auto"/>
          <w:sz w:val="22"/>
          <w:szCs w:val="22"/>
        </w:rPr>
        <w:t>等技术资料。</w:t>
      </w:r>
    </w:p>
    <w:p>
      <w:pPr>
        <w:spacing w:line="360" w:lineRule="auto"/>
        <w:ind w:firstLine="440" w:firstLineChars="200"/>
        <w:rPr>
          <w:color w:val="auto"/>
          <w:sz w:val="22"/>
        </w:rPr>
      </w:pPr>
      <w:r>
        <w:rPr>
          <w:rFonts w:hint="eastAsia"/>
          <w:color w:val="auto"/>
          <w:sz w:val="22"/>
        </w:rPr>
        <w:t>2、计量规范：</w:t>
      </w:r>
    </w:p>
    <w:p>
      <w:pPr>
        <w:spacing w:line="360" w:lineRule="auto"/>
        <w:ind w:firstLine="440" w:firstLineChars="200"/>
        <w:rPr>
          <w:color w:val="auto"/>
          <w:sz w:val="22"/>
        </w:rPr>
      </w:pPr>
      <w:r>
        <w:rPr>
          <w:rFonts w:hint="eastAsia"/>
          <w:color w:val="auto"/>
          <w:sz w:val="22"/>
        </w:rPr>
        <w:t>①《建设工程工程量清单计价规范》（GB50500-2013）</w:t>
      </w:r>
    </w:p>
    <w:p>
      <w:pPr>
        <w:spacing w:line="360" w:lineRule="auto"/>
        <w:ind w:firstLine="440" w:firstLineChars="200"/>
        <w:rPr>
          <w:color w:val="auto"/>
          <w:sz w:val="22"/>
        </w:rPr>
      </w:pPr>
      <w:r>
        <w:rPr>
          <w:rFonts w:hint="eastAsia"/>
          <w:color w:val="auto"/>
          <w:sz w:val="22"/>
        </w:rPr>
        <w:t>②《房屋建筑与装饰工程工程量计算规范》（GB50854-2013）</w:t>
      </w:r>
    </w:p>
    <w:p>
      <w:pPr>
        <w:spacing w:line="360" w:lineRule="auto"/>
        <w:ind w:firstLine="440" w:firstLineChars="200"/>
        <w:rPr>
          <w:rFonts w:hint="eastAsia"/>
          <w:color w:val="auto"/>
          <w:sz w:val="22"/>
        </w:rPr>
      </w:pPr>
      <w:r>
        <w:rPr>
          <w:rFonts w:hint="eastAsia"/>
          <w:color w:val="auto"/>
          <w:sz w:val="22"/>
        </w:rPr>
        <w:t>③《通用安装工程工程量计算规范》（GB50856-2013）</w:t>
      </w:r>
    </w:p>
    <w:p>
      <w:pPr>
        <w:spacing w:line="360" w:lineRule="auto"/>
        <w:ind w:firstLine="440" w:firstLineChars="200"/>
        <w:rPr>
          <w:rFonts w:hint="eastAsia"/>
          <w:color w:val="auto"/>
          <w:sz w:val="22"/>
        </w:rPr>
      </w:pPr>
      <w:r>
        <w:rPr>
          <w:rFonts w:hint="eastAsia"/>
          <w:color w:val="auto"/>
          <w:sz w:val="22"/>
        </w:rPr>
        <w:t>④《</w:t>
      </w:r>
      <w:r>
        <w:rPr>
          <w:rFonts w:hint="eastAsia"/>
          <w:color w:val="auto"/>
          <w:sz w:val="22"/>
          <w:lang w:val="en-US" w:eastAsia="zh-CN"/>
        </w:rPr>
        <w:t>市政</w:t>
      </w:r>
      <w:r>
        <w:rPr>
          <w:rFonts w:hint="eastAsia"/>
          <w:color w:val="auto"/>
          <w:sz w:val="22"/>
        </w:rPr>
        <w:t>工程工程量计算规范》（GB50</w:t>
      </w:r>
      <w:r>
        <w:rPr>
          <w:rFonts w:hint="eastAsia"/>
          <w:color w:val="auto"/>
          <w:sz w:val="22"/>
          <w:lang w:val="en-US" w:eastAsia="zh-CN"/>
        </w:rPr>
        <w:t>857</w:t>
      </w:r>
      <w:r>
        <w:rPr>
          <w:rFonts w:hint="eastAsia"/>
          <w:color w:val="auto"/>
          <w:sz w:val="22"/>
        </w:rPr>
        <w:t>-2013）</w:t>
      </w:r>
    </w:p>
    <w:p>
      <w:pPr>
        <w:spacing w:line="360" w:lineRule="auto"/>
        <w:ind w:firstLine="440" w:firstLineChars="200"/>
        <w:rPr>
          <w:color w:val="auto"/>
          <w:sz w:val="22"/>
        </w:rPr>
      </w:pPr>
      <w:r>
        <w:rPr>
          <w:rFonts w:hint="eastAsia" w:ascii="微软雅黑" w:hAnsi="微软雅黑" w:eastAsia="微软雅黑" w:cs="微软雅黑"/>
          <w:color w:val="auto"/>
          <w:sz w:val="22"/>
        </w:rPr>
        <w:t>⑤</w:t>
      </w:r>
      <w:r>
        <w:rPr>
          <w:rFonts w:hint="eastAsia" w:ascii="微软雅黑" w:hAnsi="微软雅黑" w:eastAsia="微软雅黑" w:cs="微软雅黑"/>
          <w:color w:val="auto"/>
          <w:sz w:val="22"/>
          <w:lang w:val="en-US" w:eastAsia="zh-CN"/>
        </w:rPr>
        <w:t xml:space="preserve"> </w:t>
      </w:r>
      <w:r>
        <w:rPr>
          <w:rFonts w:hint="eastAsia"/>
          <w:color w:val="auto"/>
          <w:sz w:val="22"/>
        </w:rPr>
        <w:t>现行相关补充或调整文件</w:t>
      </w:r>
    </w:p>
    <w:p>
      <w:pPr>
        <w:spacing w:line="360" w:lineRule="auto"/>
        <w:ind w:firstLine="440" w:firstLineChars="200"/>
        <w:rPr>
          <w:color w:val="auto"/>
          <w:sz w:val="22"/>
        </w:rPr>
      </w:pPr>
      <w:r>
        <w:rPr>
          <w:rFonts w:hint="eastAsia"/>
          <w:color w:val="auto"/>
          <w:sz w:val="22"/>
        </w:rPr>
        <w:t>3、与本工程项目有关的标准、施工规范与验收规范。</w:t>
      </w:r>
    </w:p>
    <w:p>
      <w:pPr>
        <w:spacing w:line="360" w:lineRule="auto"/>
        <w:rPr>
          <w:color w:val="auto"/>
          <w:sz w:val="28"/>
          <w:szCs w:val="28"/>
        </w:rPr>
      </w:pPr>
      <w:r>
        <w:rPr>
          <w:rFonts w:hint="eastAsia"/>
          <w:color w:val="auto"/>
          <w:sz w:val="28"/>
          <w:szCs w:val="28"/>
        </w:rPr>
        <w:t>四、取费标准</w:t>
      </w:r>
    </w:p>
    <w:p>
      <w:pPr>
        <w:spacing w:line="360" w:lineRule="auto"/>
        <w:ind w:firstLine="440" w:firstLineChars="200"/>
        <w:rPr>
          <w:color w:val="auto"/>
          <w:sz w:val="22"/>
        </w:rPr>
      </w:pPr>
      <w:r>
        <w:rPr>
          <w:rFonts w:hint="eastAsia"/>
          <w:color w:val="auto"/>
          <w:sz w:val="22"/>
        </w:rPr>
        <w:t>1、《江苏省建设工程费用定额》（2014）。</w:t>
      </w:r>
    </w:p>
    <w:p>
      <w:pPr>
        <w:spacing w:line="360" w:lineRule="auto"/>
        <w:ind w:firstLine="440" w:firstLineChars="200"/>
        <w:rPr>
          <w:color w:val="auto"/>
          <w:sz w:val="22"/>
        </w:rPr>
      </w:pPr>
      <w:r>
        <w:rPr>
          <w:rFonts w:hint="eastAsia"/>
          <w:color w:val="auto"/>
          <w:sz w:val="22"/>
        </w:rPr>
        <w:t>2、《省住房城乡建设厅关于建筑业实施营改增后江苏省建设工程计价依据调整的通知》 苏建价（2016）154号文及相关附件。</w:t>
      </w:r>
    </w:p>
    <w:p>
      <w:pPr>
        <w:spacing w:line="360" w:lineRule="auto"/>
        <w:ind w:firstLine="440" w:firstLineChars="200"/>
        <w:rPr>
          <w:color w:val="auto"/>
          <w:sz w:val="22"/>
        </w:rPr>
      </w:pPr>
      <w:r>
        <w:rPr>
          <w:rFonts w:hint="eastAsia"/>
          <w:color w:val="auto"/>
          <w:sz w:val="22"/>
        </w:rPr>
        <w:t>3、《省住房城乡建设厅关于建筑业增值税计价政策调整的通知》苏建函价（2019）178号文。</w:t>
      </w:r>
    </w:p>
    <w:p>
      <w:pPr>
        <w:spacing w:line="360" w:lineRule="auto"/>
        <w:ind w:firstLine="440" w:firstLineChars="200"/>
        <w:rPr>
          <w:rFonts w:hint="eastAsia"/>
          <w:color w:val="auto"/>
          <w:sz w:val="22"/>
        </w:rPr>
      </w:pPr>
      <w:r>
        <w:rPr>
          <w:rFonts w:hint="eastAsia"/>
          <w:color w:val="auto"/>
          <w:sz w:val="22"/>
        </w:rPr>
        <w:t>4、安全文明施工措施费计取基本费和扬尘污染防治增加费。</w:t>
      </w:r>
    </w:p>
    <w:p>
      <w:pPr>
        <w:spacing w:line="360" w:lineRule="auto"/>
        <w:ind w:firstLine="440" w:firstLineChars="200"/>
        <w:rPr>
          <w:rFonts w:hint="default" w:eastAsiaTheme="minorEastAsia"/>
          <w:color w:val="auto"/>
          <w:sz w:val="22"/>
          <w:lang w:val="en-US" w:eastAsia="zh-CN"/>
        </w:rPr>
      </w:pPr>
      <w:r>
        <w:rPr>
          <w:rFonts w:hint="eastAsia"/>
          <w:color w:val="auto"/>
          <w:sz w:val="22"/>
          <w:lang w:val="en-US" w:eastAsia="zh-CN"/>
        </w:rPr>
        <w:t>5、临时设施费按中值计取、建筑工人实名制费用全额计取。</w:t>
      </w:r>
    </w:p>
    <w:p>
      <w:pPr>
        <w:spacing w:line="360" w:lineRule="auto"/>
        <w:ind w:firstLine="440" w:firstLineChars="200"/>
        <w:rPr>
          <w:color w:val="auto"/>
          <w:sz w:val="22"/>
        </w:rPr>
      </w:pPr>
      <w:r>
        <w:rPr>
          <w:rFonts w:hint="eastAsia"/>
          <w:color w:val="auto"/>
          <w:sz w:val="22"/>
          <w:lang w:val="en-US" w:eastAsia="zh-CN"/>
        </w:rPr>
        <w:t>6</w:t>
      </w:r>
      <w:r>
        <w:rPr>
          <w:rFonts w:hint="eastAsia"/>
          <w:color w:val="auto"/>
          <w:sz w:val="22"/>
        </w:rPr>
        <w:t>、政策性文件及报价参考执行投标截止日前省市建委造价有关文件，投标截止日后的省市建委造价文件不予执行。</w:t>
      </w:r>
    </w:p>
    <w:p>
      <w:pPr>
        <w:spacing w:line="360" w:lineRule="auto"/>
        <w:ind w:firstLine="440" w:firstLineChars="200"/>
        <w:rPr>
          <w:color w:val="auto"/>
          <w:sz w:val="22"/>
        </w:rPr>
      </w:pPr>
      <w:r>
        <w:rPr>
          <w:rFonts w:hint="eastAsia"/>
          <w:color w:val="auto"/>
          <w:sz w:val="22"/>
          <w:lang w:val="en-US" w:eastAsia="zh-CN"/>
        </w:rPr>
        <w:t>7</w:t>
      </w:r>
      <w:r>
        <w:rPr>
          <w:rFonts w:hint="eastAsia"/>
          <w:color w:val="auto"/>
          <w:sz w:val="22"/>
        </w:rPr>
        <w:t>、人工工资参考江苏省建设工程人工工资指导价自主报价，其它费用按照省市建委发布的有关文件及政策规定等执行，报价参考执行投标截止日前省建设厅、市建委造价有关文件。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color w:val="auto"/>
          <w:sz w:val="22"/>
        </w:rPr>
      </w:pPr>
      <w:r>
        <w:rPr>
          <w:rFonts w:hint="eastAsia"/>
          <w:color w:val="auto"/>
          <w:sz w:val="22"/>
          <w:lang w:val="en-US" w:eastAsia="zh-CN"/>
        </w:rPr>
        <w:t>8</w:t>
      </w:r>
      <w:r>
        <w:rPr>
          <w:rFonts w:hint="eastAsia"/>
          <w:color w:val="auto"/>
          <w:sz w:val="22"/>
        </w:rPr>
        <w:t>、暂列金额及暂估价：</w:t>
      </w:r>
    </w:p>
    <w:p>
      <w:pPr>
        <w:spacing w:line="360" w:lineRule="auto"/>
        <w:ind w:firstLine="440" w:firstLineChars="200"/>
        <w:rPr>
          <w:color w:val="auto"/>
          <w:sz w:val="22"/>
        </w:rPr>
      </w:pPr>
      <w:r>
        <w:rPr>
          <w:rFonts w:hint="eastAsia"/>
          <w:color w:val="auto"/>
          <w:sz w:val="22"/>
        </w:rPr>
        <w:t>（1）暂列金额：</w:t>
      </w:r>
      <w:r>
        <w:rPr>
          <w:rFonts w:hint="eastAsia"/>
          <w:color w:val="auto"/>
          <w:sz w:val="22"/>
          <w:lang w:val="en-US" w:eastAsia="zh-CN"/>
        </w:rPr>
        <w:t>0</w:t>
      </w:r>
      <w:r>
        <w:rPr>
          <w:rFonts w:hint="eastAsia"/>
          <w:color w:val="auto"/>
          <w:sz w:val="22"/>
        </w:rPr>
        <w:t>元。</w:t>
      </w:r>
    </w:p>
    <w:p>
      <w:pPr>
        <w:spacing w:line="360" w:lineRule="auto"/>
        <w:ind w:firstLine="440" w:firstLineChars="200"/>
        <w:rPr>
          <w:color w:val="auto"/>
          <w:sz w:val="22"/>
        </w:rPr>
      </w:pPr>
      <w:r>
        <w:rPr>
          <w:rFonts w:hint="eastAsia"/>
          <w:color w:val="auto"/>
          <w:sz w:val="22"/>
        </w:rPr>
        <w:t>（2）暂估价：0元。</w:t>
      </w:r>
    </w:p>
    <w:p>
      <w:pPr>
        <w:spacing w:line="360" w:lineRule="auto"/>
        <w:rPr>
          <w:color w:val="auto"/>
          <w:sz w:val="28"/>
          <w:szCs w:val="28"/>
        </w:rPr>
      </w:pPr>
      <w:r>
        <w:rPr>
          <w:rFonts w:hint="eastAsia"/>
          <w:color w:val="auto"/>
          <w:sz w:val="28"/>
          <w:szCs w:val="28"/>
        </w:rPr>
        <w:t>五、图纸及工程量计算中的相关说明</w:t>
      </w:r>
    </w:p>
    <w:p>
      <w:pPr>
        <w:spacing w:line="360" w:lineRule="auto"/>
        <w:ind w:firstLine="440" w:firstLineChars="200"/>
        <w:rPr>
          <w:color w:val="auto"/>
          <w:sz w:val="22"/>
        </w:rPr>
      </w:pPr>
      <w:r>
        <w:rPr>
          <w:rFonts w:hint="eastAsia"/>
          <w:color w:val="auto"/>
          <w:sz w:val="22"/>
        </w:rPr>
        <w:t>1、通用部分</w:t>
      </w:r>
    </w:p>
    <w:p>
      <w:pPr>
        <w:spacing w:line="360" w:lineRule="auto"/>
        <w:ind w:firstLine="440" w:firstLineChars="200"/>
        <w:rPr>
          <w:color w:val="auto"/>
          <w:sz w:val="22"/>
        </w:rPr>
      </w:pPr>
      <w:r>
        <w:rPr>
          <w:rFonts w:hint="eastAsia"/>
          <w:color w:val="auto"/>
          <w:sz w:val="22"/>
        </w:rPr>
        <w:t>（1）投标人在投标报价时结合现场实际情况考虑夜间施工及围挡防护安全，结算时不再调整；</w:t>
      </w:r>
    </w:p>
    <w:p>
      <w:pPr>
        <w:spacing w:line="360" w:lineRule="auto"/>
        <w:ind w:firstLine="440" w:firstLineChars="200"/>
        <w:rPr>
          <w:color w:val="auto"/>
          <w:sz w:val="22"/>
        </w:rPr>
      </w:pPr>
      <w:r>
        <w:rPr>
          <w:rFonts w:hint="eastAsia"/>
          <w:color w:val="auto"/>
          <w:sz w:val="22"/>
        </w:rPr>
        <w:t>（2）本工程所需报验、报检费用甲方不予承担，投标人自行考虑计入投标报价；</w:t>
      </w:r>
    </w:p>
    <w:p>
      <w:pPr>
        <w:spacing w:line="360" w:lineRule="auto"/>
        <w:ind w:firstLine="440" w:firstLineChars="200"/>
        <w:rPr>
          <w:color w:val="auto"/>
          <w:sz w:val="22"/>
        </w:rPr>
      </w:pPr>
      <w:r>
        <w:rPr>
          <w:rFonts w:hint="eastAsia"/>
          <w:color w:val="auto"/>
          <w:sz w:val="22"/>
        </w:rPr>
        <w:t>（3）措施费项目投标单位可自行增添内容，自行报价，未计放部分按优惠考虑，结算时不再调整，投标人在报价中应充分考虑所涉及的各项措施费及风险因素后再进行报价，不可竞争费按规定报价；</w:t>
      </w:r>
    </w:p>
    <w:p>
      <w:pPr>
        <w:spacing w:line="360" w:lineRule="auto"/>
        <w:ind w:firstLine="440" w:firstLineChars="200"/>
        <w:rPr>
          <w:color w:val="auto"/>
          <w:sz w:val="22"/>
        </w:rPr>
      </w:pPr>
      <w:r>
        <w:rPr>
          <w:rFonts w:hint="eastAsia"/>
          <w:color w:val="auto"/>
          <w:sz w:val="22"/>
        </w:rPr>
        <w:t>（4）施工现场、交通运输情况及自然地理条件由投标人自行现场勘察，应充分考虑本工程场地现状的特点，可能对工程施工造成的影响并由此增加的费用等，做出考量一并考虑在投标报价中；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color w:val="auto"/>
          <w:sz w:val="22"/>
        </w:rPr>
      </w:pPr>
      <w:r>
        <w:rPr>
          <w:rFonts w:hint="eastAsia"/>
          <w:color w:val="auto"/>
          <w:sz w:val="22"/>
        </w:rPr>
        <w:t>（5）清单中项目特征描述不详处，以图纸为准，投标报价时应考虑图纸所示施工要求等一切费用；</w:t>
      </w:r>
    </w:p>
    <w:p>
      <w:pPr>
        <w:spacing w:line="360" w:lineRule="auto"/>
        <w:ind w:firstLine="440" w:firstLineChars="200"/>
        <w:rPr>
          <w:color w:val="auto"/>
          <w:sz w:val="22"/>
        </w:rPr>
      </w:pPr>
      <w:r>
        <w:rPr>
          <w:rFonts w:hint="eastAsia"/>
          <w:color w:val="auto"/>
          <w:sz w:val="22"/>
        </w:rPr>
        <w:t>（6）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ind w:firstLine="440" w:firstLineChars="200"/>
        <w:rPr>
          <w:color w:val="auto"/>
          <w:sz w:val="22"/>
        </w:rPr>
      </w:pPr>
      <w:r>
        <w:rPr>
          <w:rFonts w:hint="eastAsia"/>
          <w:color w:val="auto"/>
          <w:sz w:val="22"/>
        </w:rPr>
        <w:t>2、土建部分</w:t>
      </w:r>
    </w:p>
    <w:p>
      <w:pPr>
        <w:spacing w:line="360" w:lineRule="auto"/>
        <w:ind w:firstLine="440" w:firstLineChars="200"/>
        <w:rPr>
          <w:color w:val="auto"/>
          <w:sz w:val="22"/>
        </w:rPr>
      </w:pPr>
      <w:r>
        <w:rPr>
          <w:rFonts w:hint="eastAsia"/>
          <w:color w:val="auto"/>
          <w:sz w:val="22"/>
        </w:rPr>
        <w:t>（1）本</w:t>
      </w:r>
      <w:r>
        <w:rPr>
          <w:rFonts w:hint="eastAsia"/>
          <w:color w:val="auto"/>
          <w:sz w:val="22"/>
          <w:lang w:val="en-US" w:eastAsia="zh-CN"/>
        </w:rPr>
        <w:t>工程现状道路破损处理修复方式自行综合考虑，但必须满足使用要求</w:t>
      </w:r>
      <w:r>
        <w:rPr>
          <w:rFonts w:hint="eastAsia"/>
          <w:color w:val="auto"/>
          <w:sz w:val="22"/>
        </w:rPr>
        <w:t>；</w:t>
      </w:r>
    </w:p>
    <w:p>
      <w:pPr>
        <w:spacing w:line="360" w:lineRule="auto"/>
        <w:ind w:firstLine="440" w:firstLineChars="200"/>
        <w:rPr>
          <w:color w:val="auto"/>
          <w:sz w:val="22"/>
        </w:rPr>
      </w:pPr>
      <w:r>
        <w:rPr>
          <w:rFonts w:hint="eastAsia"/>
          <w:color w:val="auto"/>
          <w:sz w:val="22"/>
        </w:rPr>
        <w:t>（2）本</w:t>
      </w:r>
      <w:r>
        <w:rPr>
          <w:rFonts w:hint="eastAsia"/>
          <w:color w:val="auto"/>
          <w:sz w:val="22"/>
          <w:lang w:val="en-US" w:eastAsia="zh-CN"/>
        </w:rPr>
        <w:t>工程</w:t>
      </w:r>
      <w:r>
        <w:rPr>
          <w:rFonts w:hint="eastAsia"/>
          <w:color w:val="auto"/>
          <w:sz w:val="22"/>
        </w:rPr>
        <w:t>新增台阶处现状地面、绿化等需综合考虑破除及恢复费用；</w:t>
      </w:r>
    </w:p>
    <w:p>
      <w:pPr>
        <w:spacing w:line="360" w:lineRule="auto"/>
        <w:ind w:firstLine="440" w:firstLineChars="200"/>
        <w:rPr>
          <w:rFonts w:hint="eastAsia"/>
          <w:color w:val="auto"/>
          <w:sz w:val="22"/>
          <w:lang w:val="en-US" w:eastAsia="zh-CN"/>
        </w:rPr>
      </w:pPr>
      <w:r>
        <w:rPr>
          <w:rFonts w:hint="eastAsia"/>
          <w:color w:val="auto"/>
          <w:sz w:val="22"/>
        </w:rPr>
        <w:t>（3）</w:t>
      </w:r>
      <w:r>
        <w:rPr>
          <w:rFonts w:hint="eastAsia"/>
          <w:color w:val="auto"/>
          <w:sz w:val="22"/>
          <w:lang w:val="en-US" w:eastAsia="zh-CN"/>
        </w:rPr>
        <w:t>新建停车场现状场地为土方，需综合考虑与道路的连接坡度处理；</w:t>
      </w:r>
    </w:p>
    <w:p>
      <w:pPr>
        <w:spacing w:line="360" w:lineRule="auto"/>
        <w:ind w:firstLine="440" w:firstLineChars="200"/>
        <w:rPr>
          <w:rFonts w:hint="eastAsia"/>
          <w:color w:val="auto"/>
          <w:sz w:val="22"/>
          <w:lang w:val="en-US" w:eastAsia="zh-CN"/>
        </w:rPr>
      </w:pPr>
      <w:r>
        <w:rPr>
          <w:rFonts w:hint="eastAsia"/>
          <w:color w:val="auto"/>
          <w:sz w:val="22"/>
          <w:lang w:val="en-US" w:eastAsia="zh-CN"/>
        </w:rPr>
        <w:t>（4）破除混凝土路面、沥青路面，投标报价时需结合现场综合考虑破除与恢复费用，结算时不得调整。</w:t>
      </w:r>
    </w:p>
    <w:p>
      <w:pPr>
        <w:spacing w:line="360" w:lineRule="auto"/>
        <w:ind w:firstLine="440" w:firstLineChars="200"/>
        <w:rPr>
          <w:rFonts w:hint="default"/>
          <w:color w:val="auto"/>
          <w:sz w:val="22"/>
          <w:lang w:val="en-US" w:eastAsia="zh-CN"/>
        </w:rPr>
      </w:pPr>
    </w:p>
    <w:p>
      <w:pPr>
        <w:spacing w:line="360" w:lineRule="auto"/>
        <w:ind w:firstLine="440" w:firstLineChars="200"/>
        <w:rPr>
          <w:rFonts w:hint="eastAsia"/>
          <w:color w:val="auto"/>
          <w:sz w:val="22"/>
        </w:rPr>
      </w:pPr>
      <w:r>
        <w:rPr>
          <w:rFonts w:hint="eastAsia"/>
          <w:color w:val="auto"/>
          <w:sz w:val="22"/>
        </w:rPr>
        <w:t>3、安装部分</w:t>
      </w:r>
    </w:p>
    <w:p>
      <w:pPr>
        <w:spacing w:line="360" w:lineRule="auto"/>
        <w:ind w:firstLine="440" w:firstLineChars="200"/>
        <w:rPr>
          <w:rFonts w:hint="eastAsia"/>
          <w:color w:val="auto"/>
          <w:sz w:val="22"/>
          <w:lang w:val="en-US" w:eastAsia="zh-CN"/>
        </w:rPr>
      </w:pPr>
      <w:r>
        <w:rPr>
          <w:rFonts w:hint="eastAsia"/>
          <w:color w:val="auto"/>
          <w:sz w:val="22"/>
          <w:lang w:val="en-US" w:eastAsia="zh-CN"/>
        </w:rPr>
        <w:t>（1）配电箱进线为暂估量，结算时按实调整；</w:t>
      </w:r>
    </w:p>
    <w:p>
      <w:pPr>
        <w:spacing w:line="360" w:lineRule="auto"/>
        <w:ind w:firstLine="440" w:firstLineChars="200"/>
        <w:rPr>
          <w:rFonts w:hint="eastAsia"/>
          <w:color w:val="auto"/>
          <w:sz w:val="22"/>
          <w:lang w:val="en-US" w:eastAsia="zh-CN"/>
        </w:rPr>
      </w:pPr>
      <w:r>
        <w:rPr>
          <w:rFonts w:hint="eastAsia"/>
          <w:color w:val="auto"/>
          <w:sz w:val="22"/>
          <w:lang w:val="en-US" w:eastAsia="zh-CN"/>
        </w:rPr>
        <w:t>（2</w:t>
      </w:r>
      <w:bookmarkStart w:id="0" w:name="_GoBack"/>
      <w:bookmarkEnd w:id="0"/>
      <w:r>
        <w:rPr>
          <w:rFonts w:hint="eastAsia"/>
          <w:color w:val="auto"/>
          <w:sz w:val="22"/>
          <w:lang w:val="en-US" w:eastAsia="zh-CN"/>
        </w:rPr>
        <w:t>）本次清单配电箱进线未考虑室内走向，投标报价时需综合考虑现场实际情况，结算不得调整相关费用。</w:t>
      </w:r>
    </w:p>
    <w:p>
      <w:pPr>
        <w:spacing w:line="360" w:lineRule="auto"/>
        <w:rPr>
          <w:color w:val="auto"/>
          <w:sz w:val="28"/>
          <w:szCs w:val="28"/>
        </w:rPr>
      </w:pPr>
      <w:r>
        <w:rPr>
          <w:rFonts w:hint="eastAsia"/>
          <w:color w:val="auto"/>
          <w:sz w:val="28"/>
          <w:szCs w:val="28"/>
        </w:rPr>
        <w:t>六、主要材料设备</w:t>
      </w:r>
    </w:p>
    <w:p>
      <w:pPr>
        <w:spacing w:line="360" w:lineRule="auto"/>
        <w:ind w:firstLine="440" w:firstLineChars="200"/>
        <w:rPr>
          <w:color w:val="auto"/>
          <w:sz w:val="22"/>
        </w:rPr>
      </w:pPr>
      <w:r>
        <w:rPr>
          <w:rFonts w:hint="eastAsia"/>
          <w:color w:val="auto"/>
          <w:sz w:val="22"/>
        </w:rPr>
        <w:t>（一）投标人负责采购的主要材料设备</w:t>
      </w:r>
    </w:p>
    <w:p>
      <w:pPr>
        <w:spacing w:line="360" w:lineRule="auto"/>
        <w:ind w:firstLine="440" w:firstLineChars="200"/>
        <w:rPr>
          <w:color w:val="auto"/>
          <w:sz w:val="22"/>
        </w:rPr>
      </w:pPr>
      <w:r>
        <w:rPr>
          <w:rFonts w:hint="eastAsia"/>
          <w:color w:val="auto"/>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numPr>
          <w:ilvl w:val="0"/>
          <w:numId w:val="1"/>
        </w:numPr>
        <w:spacing w:line="360" w:lineRule="auto"/>
        <w:ind w:firstLine="440" w:firstLineChars="200"/>
        <w:rPr>
          <w:color w:val="auto"/>
          <w:sz w:val="22"/>
        </w:rPr>
      </w:pPr>
      <w:r>
        <w:rPr>
          <w:rFonts w:hint="eastAsia"/>
          <w:color w:val="auto"/>
          <w:sz w:val="22"/>
        </w:rPr>
        <w:t>主要材料品牌推荐表如下：</w:t>
      </w:r>
    </w:p>
    <w:tbl>
      <w:tblPr>
        <w:tblStyle w:val="5"/>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1704"/>
        <w:gridCol w:w="1668"/>
        <w:gridCol w:w="4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Align w:val="center"/>
          </w:tcPr>
          <w:p>
            <w:pPr>
              <w:jc w:val="center"/>
              <w:rPr>
                <w:b/>
                <w:sz w:val="20"/>
                <w:szCs w:val="28"/>
              </w:rPr>
            </w:pPr>
            <w:r>
              <w:rPr>
                <w:b/>
                <w:sz w:val="20"/>
                <w:szCs w:val="28"/>
              </w:rPr>
              <w:t>序号</w:t>
            </w:r>
          </w:p>
        </w:tc>
        <w:tc>
          <w:tcPr>
            <w:tcW w:w="1704" w:type="dxa"/>
            <w:vAlign w:val="center"/>
          </w:tcPr>
          <w:p>
            <w:pPr>
              <w:jc w:val="center"/>
              <w:rPr>
                <w:b/>
                <w:sz w:val="20"/>
                <w:szCs w:val="28"/>
              </w:rPr>
            </w:pPr>
            <w:r>
              <w:rPr>
                <w:b/>
                <w:sz w:val="20"/>
                <w:szCs w:val="28"/>
              </w:rPr>
              <w:t>名称</w:t>
            </w:r>
          </w:p>
        </w:tc>
        <w:tc>
          <w:tcPr>
            <w:tcW w:w="1668" w:type="dxa"/>
            <w:vAlign w:val="center"/>
          </w:tcPr>
          <w:p>
            <w:pPr>
              <w:jc w:val="center"/>
              <w:rPr>
                <w:b/>
                <w:sz w:val="20"/>
                <w:szCs w:val="28"/>
              </w:rPr>
            </w:pPr>
            <w:r>
              <w:rPr>
                <w:rFonts w:hint="eastAsia"/>
                <w:b/>
                <w:sz w:val="20"/>
                <w:szCs w:val="28"/>
              </w:rPr>
              <w:t>拟推荐品牌</w:t>
            </w:r>
          </w:p>
        </w:tc>
        <w:tc>
          <w:tcPr>
            <w:tcW w:w="4692" w:type="dxa"/>
            <w:vAlign w:val="center"/>
          </w:tcPr>
          <w:p>
            <w:pPr>
              <w:jc w:val="center"/>
              <w:rPr>
                <w:b/>
                <w:sz w:val="20"/>
                <w:szCs w:val="28"/>
              </w:rPr>
            </w:pPr>
            <w:r>
              <w:rPr>
                <w:rFonts w:hint="eastAsia"/>
                <w:b/>
                <w:sz w:val="20"/>
                <w:szCs w:val="28"/>
              </w:rPr>
              <w:t>制造商</w:t>
            </w:r>
            <w:r>
              <w:rPr>
                <w:b/>
                <w:sz w:val="20"/>
                <w:szCs w:val="28"/>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restart"/>
            <w:vAlign w:val="center"/>
          </w:tcPr>
          <w:p>
            <w:pPr>
              <w:jc w:val="center"/>
              <w:rPr>
                <w:rFonts w:hint="eastAsia" w:asciiTheme="minorEastAsia" w:hAnsiTheme="minorEastAsia" w:eastAsiaTheme="minorEastAsia"/>
                <w:sz w:val="20"/>
                <w:szCs w:val="24"/>
                <w:lang w:eastAsia="zh-CN"/>
              </w:rPr>
            </w:pPr>
            <w:r>
              <w:rPr>
                <w:rFonts w:hint="eastAsia" w:asciiTheme="minorEastAsia" w:hAnsiTheme="minorEastAsia"/>
                <w:sz w:val="20"/>
                <w:szCs w:val="24"/>
                <w:lang w:val="en-US" w:eastAsia="zh-CN"/>
              </w:rPr>
              <w:t>1</w:t>
            </w:r>
          </w:p>
        </w:tc>
        <w:tc>
          <w:tcPr>
            <w:tcW w:w="1704" w:type="dxa"/>
            <w:vMerge w:val="restart"/>
            <w:vAlign w:val="center"/>
          </w:tcPr>
          <w:p>
            <w:pPr>
              <w:jc w:val="center"/>
              <w:rPr>
                <w:rFonts w:asciiTheme="minorEastAsia" w:hAnsiTheme="minorEastAsia"/>
                <w:sz w:val="20"/>
                <w:szCs w:val="24"/>
              </w:rPr>
            </w:pPr>
            <w:r>
              <w:rPr>
                <w:rFonts w:hint="eastAsia" w:asciiTheme="minorEastAsia" w:hAnsiTheme="minorEastAsia"/>
                <w:sz w:val="20"/>
                <w:szCs w:val="24"/>
              </w:rPr>
              <w:t>水泥</w:t>
            </w:r>
          </w:p>
        </w:tc>
        <w:tc>
          <w:tcPr>
            <w:tcW w:w="1668" w:type="dxa"/>
            <w:vAlign w:val="center"/>
          </w:tcPr>
          <w:p>
            <w:pPr>
              <w:jc w:val="center"/>
              <w:rPr>
                <w:rFonts w:asciiTheme="minorEastAsia" w:hAnsiTheme="minorEastAsia"/>
                <w:sz w:val="20"/>
                <w:szCs w:val="24"/>
              </w:rPr>
            </w:pPr>
            <w:r>
              <w:rPr>
                <w:rFonts w:hint="eastAsia" w:asciiTheme="minorEastAsia" w:hAnsiTheme="minorEastAsia"/>
                <w:sz w:val="20"/>
                <w:szCs w:val="24"/>
              </w:rPr>
              <w:t>海螺</w:t>
            </w:r>
          </w:p>
        </w:tc>
        <w:tc>
          <w:tcPr>
            <w:tcW w:w="4692" w:type="dxa"/>
            <w:vAlign w:val="center"/>
          </w:tcPr>
          <w:p>
            <w:pPr>
              <w:jc w:val="center"/>
              <w:rPr>
                <w:rFonts w:asciiTheme="minorEastAsia" w:hAnsiTheme="minorEastAsia"/>
                <w:sz w:val="20"/>
                <w:szCs w:val="24"/>
              </w:rPr>
            </w:pPr>
            <w:r>
              <w:rPr>
                <w:rFonts w:hint="eastAsia" w:asciiTheme="minorEastAsia" w:hAnsiTheme="minorEastAsia"/>
                <w:sz w:val="20"/>
                <w:szCs w:val="24"/>
              </w:rPr>
              <w:t>安徽海螺水泥股份有限公司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sz w:val="20"/>
                <w:szCs w:val="24"/>
              </w:rPr>
            </w:pPr>
          </w:p>
        </w:tc>
        <w:tc>
          <w:tcPr>
            <w:tcW w:w="1704" w:type="dxa"/>
            <w:vMerge w:val="continue"/>
            <w:vAlign w:val="center"/>
          </w:tcPr>
          <w:p>
            <w:pPr>
              <w:jc w:val="center"/>
              <w:rPr>
                <w:rFonts w:asciiTheme="minorEastAsia" w:hAnsiTheme="minorEastAsia"/>
                <w:sz w:val="20"/>
                <w:szCs w:val="24"/>
              </w:rPr>
            </w:pPr>
          </w:p>
        </w:tc>
        <w:tc>
          <w:tcPr>
            <w:tcW w:w="1668" w:type="dxa"/>
            <w:vAlign w:val="center"/>
          </w:tcPr>
          <w:p>
            <w:pPr>
              <w:jc w:val="center"/>
              <w:rPr>
                <w:rFonts w:asciiTheme="minorEastAsia" w:hAnsiTheme="minorEastAsia"/>
                <w:sz w:val="20"/>
                <w:szCs w:val="24"/>
              </w:rPr>
            </w:pPr>
            <w:r>
              <w:rPr>
                <w:rFonts w:hint="eastAsia" w:asciiTheme="minorEastAsia" w:hAnsiTheme="minorEastAsia"/>
                <w:sz w:val="20"/>
                <w:szCs w:val="24"/>
              </w:rPr>
              <w:t>鹤林</w:t>
            </w:r>
          </w:p>
        </w:tc>
        <w:tc>
          <w:tcPr>
            <w:tcW w:w="4692" w:type="dxa"/>
            <w:vAlign w:val="center"/>
          </w:tcPr>
          <w:p>
            <w:pPr>
              <w:jc w:val="center"/>
              <w:rPr>
                <w:rFonts w:asciiTheme="minorEastAsia" w:hAnsiTheme="minorEastAsia"/>
                <w:sz w:val="20"/>
                <w:szCs w:val="24"/>
              </w:rPr>
            </w:pPr>
            <w:r>
              <w:rPr>
                <w:rFonts w:hint="eastAsia" w:asciiTheme="minorEastAsia" w:hAnsiTheme="minorEastAsia"/>
                <w:sz w:val="20"/>
                <w:szCs w:val="24"/>
              </w:rPr>
              <w:t>江苏鹤林水泥有限公司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sz w:val="20"/>
                <w:szCs w:val="24"/>
              </w:rPr>
            </w:pPr>
          </w:p>
        </w:tc>
        <w:tc>
          <w:tcPr>
            <w:tcW w:w="1704" w:type="dxa"/>
            <w:vMerge w:val="continue"/>
            <w:vAlign w:val="center"/>
          </w:tcPr>
          <w:p>
            <w:pPr>
              <w:jc w:val="center"/>
              <w:rPr>
                <w:rFonts w:asciiTheme="minorEastAsia" w:hAnsiTheme="minorEastAsia"/>
                <w:sz w:val="20"/>
                <w:szCs w:val="24"/>
              </w:rPr>
            </w:pPr>
          </w:p>
        </w:tc>
        <w:tc>
          <w:tcPr>
            <w:tcW w:w="1668" w:type="dxa"/>
            <w:vAlign w:val="center"/>
          </w:tcPr>
          <w:p>
            <w:pPr>
              <w:jc w:val="center"/>
              <w:rPr>
                <w:rFonts w:asciiTheme="minorEastAsia" w:hAnsiTheme="minorEastAsia"/>
                <w:sz w:val="20"/>
                <w:szCs w:val="24"/>
              </w:rPr>
            </w:pPr>
            <w:r>
              <w:rPr>
                <w:rFonts w:hint="eastAsia" w:asciiTheme="minorEastAsia" w:hAnsiTheme="minorEastAsia"/>
                <w:sz w:val="20"/>
                <w:szCs w:val="24"/>
              </w:rPr>
              <w:t>中联</w:t>
            </w:r>
          </w:p>
        </w:tc>
        <w:tc>
          <w:tcPr>
            <w:tcW w:w="4692" w:type="dxa"/>
            <w:vAlign w:val="center"/>
          </w:tcPr>
          <w:p>
            <w:pPr>
              <w:jc w:val="center"/>
              <w:rPr>
                <w:rFonts w:asciiTheme="minorEastAsia" w:hAnsiTheme="minorEastAsia"/>
                <w:sz w:val="20"/>
                <w:szCs w:val="24"/>
              </w:rPr>
            </w:pPr>
            <w:r>
              <w:rPr>
                <w:rFonts w:hint="eastAsia" w:asciiTheme="minorEastAsia" w:hAnsiTheme="minorEastAsia"/>
                <w:sz w:val="20"/>
                <w:szCs w:val="24"/>
              </w:rPr>
              <w:t>中国联合水泥集团有限公司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restart"/>
            <w:vAlign w:val="center"/>
          </w:tcPr>
          <w:p>
            <w:pPr>
              <w:jc w:val="center"/>
              <w:rPr>
                <w:rFonts w:hint="eastAsia" w:asciiTheme="minorEastAsia" w:hAnsiTheme="minorEastAsia" w:eastAsiaTheme="minorEastAsia"/>
                <w:color w:val="auto"/>
                <w:sz w:val="20"/>
                <w:szCs w:val="24"/>
                <w:highlight w:val="none"/>
                <w:lang w:val="en-US" w:eastAsia="zh-CN"/>
              </w:rPr>
            </w:pPr>
            <w:r>
              <w:rPr>
                <w:rFonts w:hint="eastAsia" w:asciiTheme="minorEastAsia" w:hAnsiTheme="minorEastAsia"/>
                <w:color w:val="auto"/>
                <w:sz w:val="20"/>
                <w:szCs w:val="24"/>
                <w:highlight w:val="none"/>
                <w:lang w:val="en-US" w:eastAsia="zh-CN"/>
              </w:rPr>
              <w:t>2</w:t>
            </w:r>
          </w:p>
        </w:tc>
        <w:tc>
          <w:tcPr>
            <w:tcW w:w="1704" w:type="dxa"/>
            <w:vMerge w:val="restart"/>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lang w:val="en-US" w:eastAsia="zh-CN"/>
              </w:rPr>
              <w:t>配电箱</w:t>
            </w: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施耐德</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施耐德电气（中国）有限公司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color w:val="auto"/>
                <w:sz w:val="20"/>
                <w:szCs w:val="24"/>
                <w:highlight w:val="none"/>
              </w:rPr>
            </w:pPr>
          </w:p>
        </w:tc>
        <w:tc>
          <w:tcPr>
            <w:tcW w:w="1704" w:type="dxa"/>
            <w:vMerge w:val="continue"/>
            <w:vAlign w:val="center"/>
          </w:tcPr>
          <w:p>
            <w:pPr>
              <w:jc w:val="center"/>
              <w:rPr>
                <w:rFonts w:asciiTheme="minorEastAsia" w:hAnsiTheme="minorEastAsia"/>
                <w:color w:val="auto"/>
                <w:sz w:val="20"/>
                <w:szCs w:val="24"/>
                <w:highlight w:val="none"/>
              </w:rPr>
            </w:pP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ABB</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ABB(中国)有限公司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color w:val="auto"/>
                <w:sz w:val="20"/>
                <w:szCs w:val="24"/>
                <w:highlight w:val="none"/>
              </w:rPr>
            </w:pPr>
          </w:p>
        </w:tc>
        <w:tc>
          <w:tcPr>
            <w:tcW w:w="1704" w:type="dxa"/>
            <w:vMerge w:val="continue"/>
            <w:vAlign w:val="center"/>
          </w:tcPr>
          <w:p>
            <w:pPr>
              <w:jc w:val="center"/>
              <w:rPr>
                <w:rFonts w:asciiTheme="minorEastAsia" w:hAnsiTheme="minorEastAsia"/>
                <w:color w:val="auto"/>
                <w:sz w:val="20"/>
                <w:szCs w:val="24"/>
                <w:highlight w:val="none"/>
              </w:rPr>
            </w:pP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西门子</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西门子（中国）有限公司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8" w:type="dxa"/>
            <w:vMerge w:val="restart"/>
            <w:vAlign w:val="center"/>
          </w:tcPr>
          <w:p>
            <w:pPr>
              <w:jc w:val="center"/>
              <w:rPr>
                <w:rFonts w:hint="eastAsia" w:asciiTheme="minorEastAsia" w:hAnsiTheme="minorEastAsia" w:eastAsiaTheme="minorEastAsia"/>
                <w:color w:val="auto"/>
                <w:sz w:val="20"/>
                <w:szCs w:val="24"/>
                <w:highlight w:val="none"/>
                <w:lang w:eastAsia="zh-CN"/>
              </w:rPr>
            </w:pPr>
            <w:r>
              <w:rPr>
                <w:rFonts w:hint="eastAsia" w:asciiTheme="minorEastAsia" w:hAnsiTheme="minorEastAsia"/>
                <w:color w:val="auto"/>
                <w:sz w:val="20"/>
                <w:szCs w:val="24"/>
                <w:highlight w:val="none"/>
                <w:lang w:val="en-US" w:eastAsia="zh-CN"/>
              </w:rPr>
              <w:t>3</w:t>
            </w:r>
          </w:p>
        </w:tc>
        <w:tc>
          <w:tcPr>
            <w:tcW w:w="1704" w:type="dxa"/>
            <w:vMerge w:val="restart"/>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焊接钢管</w:t>
            </w: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天虹</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邯郸正大制管集团股份有限公司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color w:val="auto"/>
                <w:sz w:val="20"/>
                <w:szCs w:val="24"/>
                <w:highlight w:val="none"/>
              </w:rPr>
            </w:pPr>
          </w:p>
        </w:tc>
        <w:tc>
          <w:tcPr>
            <w:tcW w:w="1704" w:type="dxa"/>
            <w:vMerge w:val="continue"/>
            <w:vAlign w:val="center"/>
          </w:tcPr>
          <w:p>
            <w:pPr>
              <w:jc w:val="center"/>
              <w:rPr>
                <w:rFonts w:asciiTheme="minorEastAsia" w:hAnsiTheme="minorEastAsia"/>
                <w:color w:val="auto"/>
                <w:sz w:val="20"/>
                <w:szCs w:val="24"/>
                <w:highlight w:val="none"/>
              </w:rPr>
            </w:pP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金洲</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浙江金洲管道科技股份有限公司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color w:val="auto"/>
                <w:sz w:val="20"/>
                <w:szCs w:val="24"/>
                <w:highlight w:val="none"/>
              </w:rPr>
            </w:pPr>
          </w:p>
        </w:tc>
        <w:tc>
          <w:tcPr>
            <w:tcW w:w="1704" w:type="dxa"/>
            <w:vMerge w:val="continue"/>
            <w:vAlign w:val="center"/>
          </w:tcPr>
          <w:p>
            <w:pPr>
              <w:jc w:val="center"/>
              <w:rPr>
                <w:rFonts w:asciiTheme="minorEastAsia" w:hAnsiTheme="minorEastAsia"/>
                <w:color w:val="auto"/>
                <w:sz w:val="20"/>
                <w:szCs w:val="24"/>
                <w:highlight w:val="none"/>
              </w:rPr>
            </w:pP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友发</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天津友发钢管集团股份有限公司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restart"/>
            <w:vAlign w:val="center"/>
          </w:tcPr>
          <w:p>
            <w:pPr>
              <w:jc w:val="center"/>
              <w:rPr>
                <w:rFonts w:hint="eastAsia" w:asciiTheme="minorEastAsia" w:hAnsiTheme="minorEastAsia" w:eastAsiaTheme="minorEastAsia"/>
                <w:color w:val="auto"/>
                <w:sz w:val="20"/>
                <w:szCs w:val="24"/>
                <w:highlight w:val="none"/>
                <w:lang w:eastAsia="zh-CN"/>
              </w:rPr>
            </w:pPr>
            <w:r>
              <w:rPr>
                <w:rFonts w:hint="eastAsia" w:asciiTheme="minorEastAsia" w:hAnsiTheme="minorEastAsia"/>
                <w:color w:val="auto"/>
                <w:sz w:val="20"/>
                <w:szCs w:val="24"/>
                <w:highlight w:val="none"/>
                <w:lang w:val="en-US" w:eastAsia="zh-CN"/>
              </w:rPr>
              <w:t>4</w:t>
            </w:r>
          </w:p>
        </w:tc>
        <w:tc>
          <w:tcPr>
            <w:tcW w:w="1704" w:type="dxa"/>
            <w:vMerge w:val="restart"/>
            <w:vAlign w:val="center"/>
          </w:tcPr>
          <w:p>
            <w:pPr>
              <w:jc w:val="center"/>
              <w:rPr>
                <w:rFonts w:asciiTheme="minorEastAsia" w:hAnsiTheme="minorEastAsia"/>
                <w:color w:val="auto"/>
                <w:sz w:val="20"/>
                <w:szCs w:val="24"/>
                <w:highlight w:val="none"/>
              </w:rPr>
            </w:pPr>
            <w:r>
              <w:rPr>
                <w:rFonts w:hint="eastAsia" w:cs="宋体" w:asciiTheme="minorEastAsia" w:hAnsiTheme="minorEastAsia"/>
                <w:color w:val="auto"/>
                <w:kern w:val="0"/>
                <w:sz w:val="20"/>
                <w:szCs w:val="24"/>
                <w:highlight w:val="none"/>
                <w:lang w:bidi="ar"/>
              </w:rPr>
              <w:t>电缆</w:t>
            </w: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远东线缆</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远东电缆有限公司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color w:val="auto"/>
                <w:sz w:val="20"/>
                <w:szCs w:val="24"/>
                <w:highlight w:val="none"/>
              </w:rPr>
            </w:pPr>
          </w:p>
        </w:tc>
        <w:tc>
          <w:tcPr>
            <w:tcW w:w="1704" w:type="dxa"/>
            <w:vMerge w:val="continue"/>
            <w:vAlign w:val="center"/>
          </w:tcPr>
          <w:p>
            <w:pPr>
              <w:jc w:val="center"/>
              <w:rPr>
                <w:rFonts w:asciiTheme="minorEastAsia" w:hAnsiTheme="minorEastAsia"/>
                <w:color w:val="auto"/>
                <w:sz w:val="20"/>
                <w:szCs w:val="24"/>
                <w:highlight w:val="none"/>
              </w:rPr>
            </w:pP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上上</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江苏上上电缆集团有限公司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8" w:type="dxa"/>
            <w:vMerge w:val="continue"/>
            <w:vAlign w:val="center"/>
          </w:tcPr>
          <w:p>
            <w:pPr>
              <w:jc w:val="center"/>
              <w:rPr>
                <w:rFonts w:asciiTheme="minorEastAsia" w:hAnsiTheme="minorEastAsia"/>
                <w:color w:val="auto"/>
                <w:sz w:val="20"/>
                <w:szCs w:val="24"/>
                <w:highlight w:val="none"/>
              </w:rPr>
            </w:pPr>
          </w:p>
        </w:tc>
        <w:tc>
          <w:tcPr>
            <w:tcW w:w="1704" w:type="dxa"/>
            <w:vMerge w:val="continue"/>
            <w:vAlign w:val="center"/>
          </w:tcPr>
          <w:p>
            <w:pPr>
              <w:jc w:val="center"/>
              <w:rPr>
                <w:rFonts w:asciiTheme="minorEastAsia" w:hAnsiTheme="minorEastAsia"/>
                <w:color w:val="auto"/>
                <w:sz w:val="20"/>
                <w:szCs w:val="24"/>
                <w:highlight w:val="none"/>
              </w:rPr>
            </w:pPr>
          </w:p>
        </w:tc>
        <w:tc>
          <w:tcPr>
            <w:tcW w:w="1668"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宝胜</w:t>
            </w:r>
          </w:p>
        </w:tc>
        <w:tc>
          <w:tcPr>
            <w:tcW w:w="4692" w:type="dxa"/>
            <w:vAlign w:val="center"/>
          </w:tcPr>
          <w:p>
            <w:pPr>
              <w:jc w:val="center"/>
              <w:rPr>
                <w:rFonts w:asciiTheme="minorEastAsia" w:hAnsiTheme="minorEastAsia"/>
                <w:color w:val="auto"/>
                <w:sz w:val="20"/>
                <w:szCs w:val="24"/>
                <w:highlight w:val="none"/>
              </w:rPr>
            </w:pPr>
            <w:r>
              <w:rPr>
                <w:rFonts w:hint="eastAsia" w:asciiTheme="minorEastAsia" w:hAnsiTheme="minorEastAsia"/>
                <w:color w:val="auto"/>
                <w:sz w:val="20"/>
                <w:szCs w:val="24"/>
                <w:highlight w:val="none"/>
              </w:rPr>
              <w:t>宝胜科技创新股份有限公司</w:t>
            </w:r>
          </w:p>
        </w:tc>
      </w:tr>
    </w:tbl>
    <w:p>
      <w:pPr>
        <w:spacing w:line="240" w:lineRule="atLeast"/>
        <w:rPr>
          <w:b/>
          <w:sz w:val="36"/>
        </w:rPr>
      </w:pPr>
    </w:p>
    <w:p>
      <w:pPr>
        <w:spacing w:line="360" w:lineRule="auto"/>
        <w:ind w:firstLine="440" w:firstLineChars="200"/>
        <w:rPr>
          <w:sz w:val="22"/>
        </w:rPr>
      </w:pPr>
      <w:r>
        <w:rPr>
          <w:rFonts w:hint="eastAsia"/>
          <w:sz w:val="22"/>
        </w:rPr>
        <w:t>2、主要材料技术标准和质量要求如下：</w:t>
      </w:r>
    </w:p>
    <w:p>
      <w:pPr>
        <w:spacing w:line="360" w:lineRule="auto"/>
        <w:ind w:firstLine="440" w:firstLineChars="200"/>
        <w:rPr>
          <w:sz w:val="22"/>
        </w:rPr>
      </w:pPr>
      <w:r>
        <w:rPr>
          <w:rFonts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sz w:val="22"/>
        </w:rPr>
      </w:pPr>
      <w:r>
        <w:rPr>
          <w:rFonts w:hint="eastAsia"/>
          <w:sz w:val="22"/>
        </w:rPr>
        <w:t>（二）招标人自行采购的主要材料设备：无</w:t>
      </w:r>
    </w:p>
    <w:p>
      <w:pPr>
        <w:spacing w:line="360" w:lineRule="auto"/>
        <w:rPr>
          <w:sz w:val="28"/>
          <w:szCs w:val="28"/>
        </w:rPr>
      </w:pPr>
      <w:r>
        <w:rPr>
          <w:rFonts w:hint="eastAsia"/>
          <w:sz w:val="28"/>
          <w:szCs w:val="28"/>
        </w:rPr>
        <w:t>七、其他说明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302610"/>
    <w:multiLevelType w:val="singleLevel"/>
    <w:tmpl w:val="F630261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wYWNlM2Y4Zjk0NzhkMGE1ZjUzZjJkY2ZhZWY4Y2I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C22A1"/>
    <w:rsid w:val="003E6A22"/>
    <w:rsid w:val="00403F89"/>
    <w:rsid w:val="00480D2C"/>
    <w:rsid w:val="004D0895"/>
    <w:rsid w:val="005136AA"/>
    <w:rsid w:val="0052678C"/>
    <w:rsid w:val="00531B35"/>
    <w:rsid w:val="00591850"/>
    <w:rsid w:val="005A65A1"/>
    <w:rsid w:val="005C1C94"/>
    <w:rsid w:val="00640023"/>
    <w:rsid w:val="006C1D24"/>
    <w:rsid w:val="007216EE"/>
    <w:rsid w:val="007E10E0"/>
    <w:rsid w:val="00847CE5"/>
    <w:rsid w:val="00864452"/>
    <w:rsid w:val="00876B6F"/>
    <w:rsid w:val="00917415"/>
    <w:rsid w:val="00934BB6"/>
    <w:rsid w:val="00955791"/>
    <w:rsid w:val="00965503"/>
    <w:rsid w:val="009E6231"/>
    <w:rsid w:val="009E6462"/>
    <w:rsid w:val="00A1380D"/>
    <w:rsid w:val="00AA5070"/>
    <w:rsid w:val="00AD1268"/>
    <w:rsid w:val="00AE6169"/>
    <w:rsid w:val="00AF3547"/>
    <w:rsid w:val="00BF0684"/>
    <w:rsid w:val="00C30855"/>
    <w:rsid w:val="00D3387F"/>
    <w:rsid w:val="00D77557"/>
    <w:rsid w:val="00D92B20"/>
    <w:rsid w:val="00ED5A35"/>
    <w:rsid w:val="00EE0655"/>
    <w:rsid w:val="00EF2517"/>
    <w:rsid w:val="00F54A72"/>
    <w:rsid w:val="01A050EF"/>
    <w:rsid w:val="05ED01D7"/>
    <w:rsid w:val="08397703"/>
    <w:rsid w:val="0B7C16F3"/>
    <w:rsid w:val="0CEE0D17"/>
    <w:rsid w:val="0DE40111"/>
    <w:rsid w:val="11E50AA1"/>
    <w:rsid w:val="2A09160C"/>
    <w:rsid w:val="2D070D2B"/>
    <w:rsid w:val="2D3E4134"/>
    <w:rsid w:val="2E2318BD"/>
    <w:rsid w:val="30A154C8"/>
    <w:rsid w:val="32385460"/>
    <w:rsid w:val="328F1AE0"/>
    <w:rsid w:val="34BF4EA0"/>
    <w:rsid w:val="356F1221"/>
    <w:rsid w:val="35A41DB0"/>
    <w:rsid w:val="38FE11A4"/>
    <w:rsid w:val="3E4B62DD"/>
    <w:rsid w:val="414B3BF7"/>
    <w:rsid w:val="43FC3A3E"/>
    <w:rsid w:val="4E437F61"/>
    <w:rsid w:val="502618E8"/>
    <w:rsid w:val="50BC3FFA"/>
    <w:rsid w:val="5A3F0AC2"/>
    <w:rsid w:val="62A653DD"/>
    <w:rsid w:val="683E618B"/>
    <w:rsid w:val="6AAD2EDA"/>
    <w:rsid w:val="6C993560"/>
    <w:rsid w:val="6D86010A"/>
    <w:rsid w:val="6DBD1686"/>
    <w:rsid w:val="6FC00FB9"/>
    <w:rsid w:val="737D470E"/>
    <w:rsid w:val="73AB01D2"/>
    <w:rsid w:val="755019B0"/>
    <w:rsid w:val="772C5186"/>
    <w:rsid w:val="7A102B3D"/>
    <w:rsid w:val="7ADE2613"/>
    <w:rsid w:val="7D923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character" w:customStyle="1" w:styleId="9">
    <w:name w:val="font21"/>
    <w:basedOn w:val="6"/>
    <w:qFormat/>
    <w:uiPriority w:val="0"/>
    <w:rPr>
      <w:rFonts w:hint="eastAsia" w:ascii="宋体" w:hAnsi="宋体" w:eastAsia="宋体" w:cs="宋体"/>
      <w:color w:val="000000"/>
      <w:sz w:val="20"/>
      <w:szCs w:val="20"/>
      <w:u w:val="none"/>
    </w:rPr>
  </w:style>
  <w:style w:type="character" w:customStyle="1" w:styleId="10">
    <w:name w:val="font41"/>
    <w:basedOn w:val="6"/>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2224</Words>
  <Characters>2290</Characters>
  <Lines>38</Lines>
  <Paragraphs>10</Paragraphs>
  <TotalTime>0</TotalTime>
  <ScaleCrop>false</ScaleCrop>
  <LinksUpToDate>false</LinksUpToDate>
  <CharactersWithSpaces>2292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牛仔糕糕</cp:lastModifiedBy>
  <dcterms:modified xsi:type="dcterms:W3CDTF">2023-03-10T07:18:21Z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EE3DB4B432D04E879B60DAB3069249C2</vt:lpwstr>
  </property>
</Properties>
</file>